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jpg" ContentType="image/jpeg"/>
  <Override PartName="/word/media/rId39.png" ContentType="image/png"/>
  <Override PartName="/word/media/rId71.png" ContentType="image/png"/>
  <Override PartName="/word/media/rId59.png" ContentType="image/png"/>
  <Override PartName="/word/media/rId67.png" ContentType="image/png"/>
  <Override PartName="/word/media/rId47.png" ContentType="image/png"/>
  <Override PartName="/word/media/rId55.png" ContentType="image/png"/>
  <Override PartName="/word/media/rId63.png" ContentType="image/png"/>
  <Override PartName="/word/media/rId43.png" ContentType="image/png"/>
  <Override PartName="/word/media/rId31.png" ContentType="image/png"/>
  <Override PartName="/word/media/rId27.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Defining</w:t>
      </w:r>
      <w:r>
        <w:t xml:space="preserve"> </w:t>
      </w:r>
      <w:r>
        <w:t xml:space="preserve">Intervention</w:t>
      </w:r>
      <w:r>
        <w:t xml:space="preserve"> </w:t>
      </w:r>
      <w:r>
        <w:t xml:space="preserve">Content</w:t>
      </w:r>
    </w:p>
    <w:p>
      <w:pPr>
        <w:pStyle w:val="Author"/>
      </w:pPr>
      <w:r>
        <w:t xml:space="preserve">Commit</w:t>
      </w:r>
      <w:r>
        <w:t xml:space="preserve"> </w:t>
      </w:r>
      <w:r>
        <w:t xml:space="preserve">ID:</w:t>
      </w:r>
      <w:r>
        <w:t xml:space="preserve"> </w:t>
      </w:r>
      <w:r>
        <w:t xml:space="preserve">c24e56f</w:t>
      </w:r>
    </w:p>
    <w:p>
      <w:pPr>
        <w:pStyle w:val="Date"/>
      </w:pPr>
      <w:r>
        <w:t xml:space="preserve">2023-10-11</w:t>
      </w:r>
    </w:p>
    <w:bookmarkStart w:id="20" w:name="introduction"/>
    <w:p>
      <w:pPr>
        <w:pStyle w:val="Heading2"/>
      </w:pPr>
      <w:r>
        <w:t xml:space="preserve">Introduction</w:t>
      </w:r>
    </w:p>
    <w:p>
      <w:pPr>
        <w:pStyle w:val="FirstParagraph"/>
      </w:pPr>
      <w:r>
        <w:t xml:space="preserve">In this chapter I describe how I brought together the outputs of all previous research chapters to create a intervention planning table containing intervention components.</w:t>
      </w:r>
    </w:p>
    <w:p>
      <w:pPr>
        <w:pStyle w:val="BodyText"/>
      </w:pPr>
      <w:r>
        <w:t xml:space="preserve">In chapters 3 I described how I identified barriers influencing whether authors adhere to reporting guidelines. In chapter 7 I described how ran workshops with EQUATOR staff to define our target behaviour, prioritise intervention functions and policy categories, and how we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barriers, lists of intervention options, and a list of ideas. Not all ideas were relevant to the the EQUATOR Network or aligned with our prioritised intervention options, and although ideas referenced barriers, the links between ideas, barriers, intervention functions, and behaviour change techniques were not fully explicit.</w:t>
      </w:r>
    </w:p>
    <w:p>
      <w:pPr>
        <w:pStyle w:val="BodyText"/>
      </w:pPr>
      <w:r>
        <w:t xml:space="preserve">What remained was to selected ideas to implement and turn them into intervention components, defined as</w:t>
      </w:r>
      <w:r>
        <w:t xml:space="preserve"> </w:t>
      </w:r>
      <w:r>
        <w:t xml:space="preserve">[1]</w:t>
      </w:r>
      <w:r>
        <w:t xml:space="preserve">:</w:t>
      </w:r>
    </w:p>
    <w:p>
      <w:pPr>
        <w:numPr>
          <w:ilvl w:val="0"/>
          <w:numId w:val="1001"/>
        </w:numPr>
        <w:pStyle w:val="Compact"/>
      </w:pPr>
      <w:r>
        <w:t xml:space="preserve">a designed element that uses one or more behaviour change technique,</w:t>
      </w:r>
    </w:p>
    <w:p>
      <w:pPr>
        <w:numPr>
          <w:ilvl w:val="0"/>
          <w:numId w:val="1001"/>
        </w:numPr>
        <w:pStyle w:val="Compact"/>
      </w:pPr>
      <w:r>
        <w:t xml:space="preserve">theorized to work through one or more intervention functions</w:t>
      </w:r>
    </w:p>
    <w:p>
      <w:pPr>
        <w:numPr>
          <w:ilvl w:val="0"/>
          <w:numId w:val="1001"/>
        </w:numPr>
        <w:pStyle w:val="Compact"/>
      </w:pPr>
      <w:r>
        <w:t xml:space="preserve">to target one or more behavioural drivers.</w:t>
      </w:r>
    </w:p>
    <w:p>
      <w:pPr>
        <w:pStyle w:val="FirstParagraph"/>
      </w:pPr>
      <w:r>
        <w:t xml:space="preserve">Michie et al.</w:t>
      </w:r>
      <w:r>
        <w:t xml:space="preserve"> </w:t>
      </w:r>
      <w:r>
        <w:t xml:space="preserve">[1]</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added (or removed), how it is theorised to work and, therefore, how its effectiveness may be tested.</w:t>
      </w:r>
    </w:p>
    <w:p>
      <w:pPr>
        <w:pStyle w:val="BodyText"/>
      </w:pPr>
      <w:r>
        <w:t xml:space="preserve">In this chapter I describe how I selected ideas to implement, and how I defined them as intervention components.</w:t>
      </w:r>
    </w:p>
    <w:bookmarkEnd w:id="20"/>
    <w:bookmarkStart w:id="21" w:name="methods"/>
    <w:p>
      <w:pPr>
        <w:pStyle w:val="Heading2"/>
      </w:pPr>
      <w:r>
        <w:t xml:space="preserve">Methods</w:t>
      </w:r>
    </w:p>
    <w:p>
      <w:pPr>
        <w:pStyle w:val="FirstParagraph"/>
      </w:pPr>
      <w:r>
        <w:t xml:space="preserve">I started with a list of 28 ideas. These were the 128 ungrouped ideas originating from my focus groups (chapter 8), plus 136 ideas I had whilst I was writing my focus group chapter (see Appendix C).</w:t>
      </w:r>
    </w:p>
    <w:p>
      <w:pPr>
        <w:pStyle w:val="BodyText"/>
      </w:pPr>
      <w:r>
        <w:t xml:space="preserve">I labelled each idea with:</w:t>
      </w:r>
    </w:p>
    <w:p>
      <w:pPr>
        <w:numPr>
          <w:ilvl w:val="0"/>
          <w:numId w:val="1002"/>
        </w:numPr>
        <w:pStyle w:val="Compact"/>
      </w:pPr>
      <w:r>
        <w:t xml:space="preserve">The barrier(s) it addresses (derived from chapters 3, 4, 5, and 7).</w:t>
      </w:r>
    </w:p>
    <w:p>
      <w:pPr>
        <w:numPr>
          <w:ilvl w:val="0"/>
          <w:numId w:val="1002"/>
        </w:numPr>
        <w:pStyle w:val="Compact"/>
      </w:pPr>
      <w:r>
        <w:t xml:space="preserve">The behavioural driver it targets (from step four of the workshops described in chapter 7).</w:t>
      </w:r>
    </w:p>
    <w:p>
      <w:pPr>
        <w:numPr>
          <w:ilvl w:val="0"/>
          <w:numId w:val="1002"/>
        </w:numPr>
        <w:pStyle w:val="Compact"/>
      </w:pPr>
      <w:r>
        <w:t xml:space="preserve">The intervention functions it uses.</w:t>
      </w:r>
    </w:p>
    <w:p>
      <w:pPr>
        <w:numPr>
          <w:ilvl w:val="0"/>
          <w:numId w:val="1002"/>
        </w:numPr>
        <w:pStyle w:val="Compact"/>
      </w:pPr>
      <w:r>
        <w:t xml:space="preserve">The behaviour change techniques it uses, selected from Michie et al.’s taxonomy</w:t>
      </w:r>
      <w:r>
        <w:t xml:space="preserve"> </w:t>
      </w:r>
      <w:r>
        <w:t xml:space="preserve">[2]</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numPr>
          <w:ilvl w:val="0"/>
          <w:numId w:val="1003"/>
        </w:numPr>
        <w:pStyle w:val="Compact"/>
      </w:pPr>
      <w:r>
        <w:t xml:space="preserve">Whether it was implementable by redesigning guidelines or by modifying the EQUATOR website. If not, I removed it from the list.</w:t>
      </w:r>
    </w:p>
    <w:p>
      <w:pPr>
        <w:numPr>
          <w:ilvl w:val="0"/>
          <w:numId w:val="1003"/>
        </w:numPr>
        <w:pStyle w:val="Compact"/>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w:t>
      </w:r>
    </w:p>
    <w:p>
      <w:pPr>
        <w:pStyle w:val="BodyText"/>
      </w:pPr>
      <w:r>
        <w:t xml:space="preserve">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referring back to workshop discussions (from chapter 7).</w:t>
      </w:r>
    </w:p>
    <w:p>
      <w:pPr>
        <w:pStyle w:val="BodyText"/>
      </w:pPr>
      <w:r>
        <w:t xml:space="preserve">Components were abstract at this stage, described only as words. I had not built anything when I made the list, but to make the components easier to understand I have referenced figures from the next chapter, where I describe how I turned these hypothetical intervention components into a working prototype.</w:t>
      </w:r>
    </w:p>
    <w:bookmarkEnd w:id="21"/>
    <w:bookmarkStart w:id="22" w:name="results"/>
    <w:p>
      <w:pPr>
        <w:pStyle w:val="Heading2"/>
      </w:pPr>
      <w:r>
        <w:t xml:space="preserve">Results</w:t>
      </w:r>
    </w:p>
    <w:p>
      <w:pPr>
        <w:pStyle w:val="FirstParagraph"/>
      </w:pPr>
      <w:r>
        <w:t xml:space="preserve">From the initial list of 28 I identified 63 intervention components that could be implemented by redesigning guidelines and by improving the EQUATOR Network home page. Together, these components use 18 behaviour change techniques and 6 intervention functions to target 32 barriers.</w:t>
      </w:r>
    </w:p>
    <w:p>
      <w:pPr>
        <w:pStyle w:val="BodyText"/>
      </w:pPr>
      <w:r>
        <w:t xml:space="preserve">See table</w:t>
      </w:r>
      <w:r>
        <w:t xml:space="preserve"> </w:t>
      </w:r>
      <w:hyperlink w:anchor="tbl-int-plan">
        <w:r>
          <w:rPr>
            <w:rStyle w:val="Hyperlink"/>
          </w:rPr>
          <w:t xml:space="preserve">Table 1</w:t>
        </w:r>
      </w:hyperlink>
      <w:r>
        <w:t xml:space="preserve"> </w:t>
      </w:r>
      <w:r>
        <w:t xml:space="preserve">for all intervention components, labelled with the barriers they address, the intervention functions they work through, and the behaviour change technique they employ.</w:t>
      </w:r>
    </w:p>
    <w:bookmarkEnd w:id="22"/>
    <w:bookmarkStart w:id="24" w:name="discussion"/>
    <w:p>
      <w:pPr>
        <w:pStyle w:val="Heading2"/>
      </w:pPr>
      <w:r>
        <w:t xml:space="preserve">Discussion</w:t>
      </w:r>
    </w:p>
    <w:p>
      <w:pPr>
        <w:pStyle w:val="FirstParagraph"/>
      </w:pPr>
      <w:r>
        <w:t xml:space="preserve">In this chapter I have demonstrated how I have used behaviour change theory to create a list of intervention components. This list brings together the outputs of all of my previous thesis chapters and links them together; each component comes from an idea (chapter 8), addresses one or more barriers (chapters 3), using intervention options ranked favourably by EQUATOR staff (chapter 7). Hence the table presented here crystallises the preceding chapters.</w:t>
      </w:r>
    </w:p>
    <w:p>
      <w:pPr>
        <w:pStyle w:val="BodyText"/>
      </w:pPr>
      <w:r>
        <w:t xml:space="preserve">The table includes components derived from all ideas pursuant to the intervention options EQUATOR staff and I prioritised in our workshops. Because I filtered out ideas</w:t>
      </w:r>
      <w:r>
        <w:t xml:space="preserve"> </w:t>
      </w:r>
      <w:r>
        <w:rPr>
          <w:iCs/>
          <w:i/>
        </w:rPr>
        <w:t xml:space="preserve">not</w:t>
      </w:r>
      <w:r>
        <w:t xml:space="preserve"> </w:t>
      </w:r>
      <w:r>
        <w:t xml:space="preserve">in line with these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Consequently, although I hope this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table I have drawn comparisons between the proposed components and existing reality.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came arose organically in my workshops (chapter 7) when participants shared long-standing frustrations with the website or guidelines. Other times, after discussing a barrier or idea, we would look at a few guidelines to see how things are done currently. So this comparison was ad-hoc, and I have included them only to provide context to the proposed changes. I considered making this comparison formal, by systematically coding BCTs employed by EQUATOR’s website and popular guidelines or by counting how frequently intervention components appear currently. Ultimately, I decided this would not be helpful nor practical. With so many components and so many guidelines, this would have taken time and I decided instead to prioritise building and testing a prototype. Secondly, this audit would not have dramatically influenced the intervention components we designed, but would merely quantify how different my proposed intervention is to the current set-up. I believed my prototype would be markedly different from the status quo, and so I doubted the benefit of quantifying a difference I expected would be obvious. Should need arise in the future, an audit like this would still be possible.</w:t>
      </w:r>
    </w:p>
    <w:bookmarkStart w:id="23" w:name="conclusions"/>
    <w:p>
      <w:pPr>
        <w:pStyle w:val="Heading3"/>
      </w:pPr>
      <w:r>
        <w:t xml:space="preserve">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The next two chapters make use of this table. In chapter </w:t>
      </w:r>
      <w:r>
        <w:t xml:space="preserve"> I describe how I referred to this table when designing a study to refine components. But first, in the next chapter, I describe how I used this table to redesign a reporting guideline and the EQUATOR Network’s home page.</w:t>
      </w:r>
    </w:p>
    <w:p>
      <w:r>
        <w:br w:type="page"/>
      </w:r>
    </w:p>
    <w:bookmarkEnd w:id="23"/>
    <w:bookmarkEnd w:id="24"/>
    <w:bookmarkStart w:id="26" w:name="tables"/>
    <w:p>
      <w:pPr>
        <w:pStyle w:val="Heading2"/>
      </w:pPr>
      <w:r>
        <w:t xml:space="preserve">Tables</w:t>
      </w:r>
    </w:p>
    <w:p>
      <w:pPr>
        <w:sectPr/>
      </w:pPr>
    </w:p>
    <w:bookmarkStart w:id="25" w:name="tbl-int-plan"/>
    <w:p>
      <w:pPr>
        <w:pStyle w:val="TableCaption"/>
      </w:pPr>
      <w:r>
        <w:t xml:space="preserve">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ook w:firstRow="1" w:lastRow="0" w:firstColumn="0" w:lastColumn="0" w:noHBand="0" w:noVBand="0" w:val="0020"/>
        <w:jc w:val="start"/>
        <w:tblCaption w:val="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
      </w:tblPr>
      <w:tblGrid>
        <w:gridCol w:w="1972"/>
        <w:gridCol w:w="993"/>
        <w:gridCol w:w="993"/>
        <w:gridCol w:w="1972"/>
        <w:gridCol w:w="1972"/>
      </w:tblGrid>
      <w:tr>
        <w:trPr>
          <w:tblHeader w:val="true"/>
        </w:trPr>
        <w:tc>
          <w:tcPr/>
          <w:p>
            <w:pPr>
              <w:pStyle w:val="Compact"/>
              <w:jc w:val="left"/>
            </w:pPr>
            <w:r>
              <w:t xml:space="preserve">Intervention Ingredient</w:t>
            </w:r>
          </w:p>
        </w:tc>
        <w:tc>
          <w:tcPr/>
          <w:p>
            <w:pPr>
              <w:pStyle w:val="Compact"/>
              <w:jc w:val="left"/>
            </w:pPr>
            <w:r>
              <w:t xml:space="preserve">Behaviour Change Technique</w:t>
            </w:r>
          </w:p>
        </w:tc>
        <w:tc>
          <w:tcPr/>
          <w:p>
            <w:pPr>
              <w:pStyle w:val="Compact"/>
              <w:jc w:val="left"/>
            </w:pPr>
            <w:r>
              <w:t xml:space="preserve">Intervention Function</w:t>
            </w:r>
          </w:p>
        </w:tc>
        <w:tc>
          <w:tcPr/>
          <w:p>
            <w:pPr>
              <w:pStyle w:val="Compact"/>
              <w:jc w:val="left"/>
            </w:pPr>
            <w:r>
              <w:t xml:space="preserve">Before</w:t>
            </w:r>
          </w:p>
        </w:tc>
        <w:tc>
          <w:tcPr/>
          <w:p>
            <w:pPr>
              <w:pStyle w:val="Compact"/>
              <w:jc w:val="left"/>
            </w:pPr>
            <w:r>
              <w:t xml:space="preserve">Now</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reporting guidelines are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what reporting guidelines are where they are first encountered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prominent description of what reporting guidelines are on EQUATOR home page or in reporting guidelines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clear instruction on what tasks reporting guidelines or their resources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guidelines exist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 so readers may learn about them</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r>
      <w:tr>
        <w:tc>
          <w:tcPr/>
          <w:p>
            <w:pPr>
              <w:pStyle w:val="Compact"/>
              <w:jc w:val="left"/>
            </w:pPr>
            <w:r>
              <w:t xml:space="preserve">Decision tools for discovering appropriate resources*</w:t>
            </w:r>
          </w:p>
        </w:tc>
        <w:tc>
          <w:tcPr/>
          <w:p>
            <w:pPr>
              <w:pStyle w:val="Compact"/>
              <w:jc w:val="left"/>
            </w:pPr>
            <w:r>
              <w:t xml:space="preserve">Instruction on how to perform the behaviour</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r>
      <w:tr>
        <w:tc>
          <w:tcPr/>
          <w:p>
            <w:pPr>
              <w:pStyle w:val="Compact"/>
              <w:jc w:val="left"/>
            </w:pPr>
            <w:r>
              <w:t xml:space="preserve">Collections of related reporting guidelines*</w:t>
            </w:r>
          </w:p>
        </w:tc>
        <w:tc>
          <w:tcPr/>
          <w:p>
            <w:pPr>
              <w:pStyle w:val="Compact"/>
              <w:jc w:val="left"/>
            </w:pPr>
            <w:r>
              <w:t xml:space="preserve">Adding objects to the environment</w:t>
            </w:r>
          </w:p>
        </w:tc>
        <w:tc>
          <w:tcPr/>
          <w:p>
            <w:pPr>
              <w:pStyle w:val="Compact"/>
              <w:jc w:val="left"/>
            </w:pPr>
            <w:r>
              <w:t xml:space="preserve">Environmental Restructuring</w:t>
            </w:r>
          </w:p>
        </w:tc>
        <w:tc>
          <w:tcPr/>
          <w:p>
            <w:pPr>
              <w:pStyle w:val="Compact"/>
              <w:jc w:val="left"/>
            </w:pPr>
            <w:r>
              <w:t xml:space="preserve">Collections exist on EQUATOR site but are difficult to find.</w:t>
            </w:r>
          </w:p>
        </w:tc>
        <w:tc>
          <w:tcPr/>
          <w:p>
            <w:pPr>
              <w:pStyle w:val="Compact"/>
              <w:jc w:val="left"/>
            </w:pPr>
            <w:r>
              <w:t xml:space="preserve">Not included yet</w:t>
            </w:r>
          </w:p>
        </w:tc>
      </w:tr>
      <w:tr>
        <w:tc>
          <w:tcPr/>
          <w:p>
            <w:pPr>
              <w:pStyle w:val="Compact"/>
              <w:jc w:val="left"/>
            </w:pPr>
            <w:r>
              <w:t xml:space="preserve">Links between related guidelines</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Embed reporting guidelines that</w:t>
            </w:r>
            <w:r>
              <w:t xml:space="preserve"> </w:t>
            </w:r>
            <w:r>
              <w:t xml:space="preserve">“</w:t>
            </w:r>
            <w:r>
              <w:t xml:space="preserve">fit together</w:t>
            </w:r>
            <w:r>
              <w:t xml:space="preserve">”</w:t>
            </w:r>
            <w:r>
              <w:t xml:space="preserv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EQUATOR maintains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w:t>
            </w:r>
          </w:p>
        </w:tc>
      </w:tr>
      <w:tr>
        <w:tc>
          <w:tcPr/>
          <w:p>
            <w:pPr>
              <w:pStyle w:val="Compact"/>
              <w:jc w:val="left"/>
            </w:pPr>
            <w:r>
              <w:t xml:space="preserve">Search function on website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search function was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Search function is easier to find as a recognizable icon in the navigation bar of every page. The home page includes additional ways to access search functionality.</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Search Engine Optimization</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pPr>
            <w:r>
              <w:t xml:space="preserve">Example: (Not visible)</w:t>
            </w:r>
          </w:p>
        </w:tc>
        <w:tc>
          <w:tcPr/>
          <w:p>
            <w:pPr>
              <w:jc w:val="left"/>
            </w:pPr>
            <w:r>
              <w:t xml:space="preserve">The site has additional meta-data. Each reporting guideline page has its own meta-data. The site is optimized for mobiles.</w:t>
            </w:r>
          </w:p>
          <w:p>
            <w:pPr>
              <w:jc w:val="left"/>
            </w:pPr>
            <w:r>
              <w:t xml:space="preserve">Example: (Not visible)</w:t>
            </w:r>
          </w:p>
        </w:tc>
      </w:tr>
      <w:tr>
        <w:tc>
          <w:tcPr/>
          <w:p>
            <w:pPr>
              <w:pStyle w:val="Compact"/>
              <w:jc w:val="left"/>
            </w:pPr>
            <w:r>
              <w:t xml:space="preserve">Permanent document object identifiers (DOIs)*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r>
      <w:tr>
        <w:tc>
          <w:tcPr/>
          <w:p>
            <w:pPr>
              <w:jc w:val="left"/>
            </w:pPr>
            <w:r>
              <w:rPr>
                <w:bCs/>
                <w:b/>
              </w:rPr>
              <w:t xml:space="preserve">Targeted barrier: reporting guidelines may be difficult to access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guidelines and tools are open access*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Some guidelines are published behind paywalls</w:t>
            </w:r>
          </w:p>
        </w:tc>
        <w:tc>
          <w:tcPr/>
          <w:p>
            <w:pPr>
              <w:pStyle w:val="Compact"/>
              <w:jc w:val="left"/>
            </w:pPr>
            <w:r>
              <w:t xml:space="preserve">No change</w:t>
            </w:r>
          </w:p>
        </w:tc>
      </w:tr>
      <w:tr>
        <w:tc>
          <w:tcPr/>
          <w:p>
            <w:pPr>
              <w:jc w:val="left"/>
            </w:pPr>
            <w:r>
              <w:rPr>
                <w:bCs/>
                <w:b/>
              </w:rPr>
              <w:t xml:space="preserve">Targeted barrier: Researchers may not know whether a reporting guideline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pPr>
            <w:r>
              <w:t xml:space="preserve">The intended scope of a guideline is clearly &amp; prominently described. This definition includes contexts in which the guidance should not be used.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and up-to-date guidance when available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Guidelines are not updated as-and-when other guidelines become available.</w:t>
            </w:r>
          </w:p>
        </w:tc>
        <w:tc>
          <w:tcPr/>
          <w:p>
            <w:pPr>
              <w:jc w:val="left"/>
            </w:pPr>
            <w:r>
              <w:t xml:space="preserve">Reporting guidelines clearly and consistently point authors to more appropriate guidance when appropriate, using if-then rules. These links can be updated any time.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Explicitly state when no better guidance exists for a particular use case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rarely explain what to do when no better guidance exists for a particular use case.</w:t>
            </w:r>
          </w:p>
        </w:tc>
        <w:tc>
          <w:tcPr/>
          <w:p>
            <w:pPr>
              <w:jc w:val="left"/>
            </w:pPr>
            <w:r>
              <w:t xml:space="preserve">Reporting 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translations</w:t>
            </w:r>
          </w:p>
        </w:tc>
        <w:tc>
          <w:tcPr/>
          <w:p>
            <w:pPr>
              <w:pStyle w:val="Compact"/>
              <w:jc w:val="left"/>
            </w:pPr>
            <w:r>
              <w:t xml:space="preserve">Instruction on how to perform the behavior</w:t>
            </w:r>
          </w:p>
        </w:tc>
        <w:tc>
          <w:tcPr/>
          <w:p>
            <w:pPr>
              <w:pStyle w:val="Compact"/>
              <w:jc w:val="left"/>
            </w:pPr>
            <w:r>
              <w:t xml:space="preserve">Enablement</w:t>
            </w:r>
          </w:p>
        </w:tc>
        <w:tc>
          <w:tcPr/>
          <w:p>
            <w:pPr>
              <w:jc w:val="left"/>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information, hiding optional content, splitting long guidelines, using concise language, and separating design advice</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Cater to different kinds of user (readers vs dippers) by structuring guidance with headings, itemisation, hyperlinking to particular sections, and with optional content</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organised in different ways. Checklist items do not link to items within an elaboration document.</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 Itemisation is used consistently, content is hyperlinked when useful.</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Demonstration of the behavior</w:t>
            </w:r>
          </w:p>
        </w:tc>
        <w:tc>
          <w:tcPr/>
          <w:p>
            <w:pPr>
              <w:pStyle w:val="Compact"/>
              <w:jc w:val="left"/>
            </w:pPr>
            <w:r>
              <w:t xml:space="preserve">Persuasion</w:t>
            </w:r>
          </w:p>
        </w:tc>
        <w:tc>
          <w:tcPr/>
          <w:p>
            <w:pPr>
              <w:pStyle w:val="Compact"/>
              <w:jc w:val="left"/>
            </w:pPr>
            <w:r>
              <w:t xml:space="preserve">No such testimonials exist</w:t>
            </w:r>
          </w:p>
        </w:tc>
        <w:tc>
          <w:tcPr/>
          <w:p>
            <w:pPr>
              <w:jc w:val="left"/>
            </w:pPr>
            <w:r>
              <w:t xml:space="preserve">Quotes included alongside guideline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Decrease fear of judgement by making reporting guidelines design agnostic</w:t>
            </w:r>
          </w:p>
        </w:tc>
        <w:tc>
          <w:tcPr/>
          <w:p>
            <w:pPr>
              <w:pStyle w:val="Compact"/>
              <w:jc w:val="left"/>
            </w:pPr>
            <w:r>
              <w:t xml:space="preserve">Remove aversive stimulus</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Inadvertent design assumptions were edited.</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Remove aversive stimulus</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 and fewer references to the negative consequences of poor reporting.</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Reassure that all research has limitations to encourage explanation over perfect design</w:t>
            </w:r>
          </w:p>
        </w:tc>
        <w:tc>
          <w:tcPr/>
          <w:p>
            <w:pPr>
              <w:pStyle w:val="Compact"/>
              <w:jc w:val="left"/>
            </w:pPr>
            <w:r>
              <w:t xml:space="preserve">Social support (unspecified)</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Instruction on how to perform a behaviour</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w:t>
            </w:r>
          </w:p>
        </w:tc>
        <w:tc>
          <w:tcPr/>
          <w:p>
            <w:pPr>
              <w:pStyle w:val="Compact"/>
              <w:jc w:val="left"/>
            </w:pPr>
            <w:r>
              <w:t xml:space="preserve">All resources and website copy are directed predominantly at authors.</w:t>
            </w:r>
          </w:p>
        </w:tc>
      </w:tr>
      <w:tr>
        <w:tc>
          <w:tcPr/>
          <w:p>
            <w:pPr>
              <w:pStyle w:val="Compact"/>
              <w:jc w:val="left"/>
            </w:pPr>
            <w:r>
              <w:t xml:space="preserve">Communicate why reporting is primarily the responsibility of the author*</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pPr>
            <w:r>
              <w:t xml:space="preserve">Clear explanation of why guidelines and tools should be used by authors primarily, although can also be used by others.</w:t>
            </w:r>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Educate authors about writing as a process</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Many researchers don’t get trained on writing as a process, they just do it. EQUATOR provided education about how to write but this wasn’t advertised on guidelines.</w:t>
            </w:r>
          </w:p>
        </w:tc>
        <w:tc>
          <w:tcPr/>
          <w:p>
            <w:pPr>
              <w:jc w:val="left"/>
            </w:pPr>
            <w:r>
              <w:t xml:space="preserve">Some SRQR items now link to relevant EQUATOR materials and courses.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reporting guideline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development articles, example and elaboration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Persuasion</w:t>
            </w:r>
          </w:p>
        </w:tc>
        <w:tc>
          <w:tcPr/>
          <w:p>
            <w:pPr>
              <w:pStyle w:val="Compact"/>
              <w:jc w:val="left"/>
            </w:pPr>
            <w:r>
              <w:t xml:space="preserve">Benefits often presented without evidence (if at all)</w:t>
            </w:r>
          </w:p>
        </w:tc>
        <w:tc>
          <w:tcPr/>
          <w:p>
            <w:pPr>
              <w:jc w:val="left"/>
            </w:pPr>
            <w:r>
              <w:t xml:space="preserve">Dummy quotes provides evidence for experienced benefits.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design, features, and language to foster trust</w:t>
            </w:r>
          </w:p>
        </w:tc>
        <w:tc>
          <w:tcPr/>
          <w:p>
            <w:pPr>
              <w:pStyle w:val="Compact"/>
              <w:jc w:val="left"/>
            </w:pPr>
            <w:r>
              <w:t xml:space="preserve">Credible source, Social comparison</w:t>
            </w:r>
          </w:p>
        </w:tc>
        <w:tc>
          <w:tcPr/>
          <w:p>
            <w:pPr>
              <w:pStyle w:val="Compact"/>
              <w:jc w:val="left"/>
            </w:pPr>
            <w:r>
              <w:t xml:space="preserve">Persuasion</w:t>
            </w:r>
          </w:p>
        </w:tc>
        <w:tc>
          <w:tcPr/>
          <w:p>
            <w:pPr>
              <w:jc w:val="left"/>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pPr>
            <w:r>
              <w:t xml:space="preserve">Example: See</w:t>
            </w:r>
            <w:r>
              <w:t xml:space="preserve"> </w:t>
            </w:r>
            <w:hyperlink w:anchor="fig-db-b4">
              <w:r>
                <w:rPr>
                  <w:rStyle w:val="Hyperlink"/>
                </w:rPr>
                <w:t xml:space="preserve">Figure 4</w:t>
              </w:r>
            </w:hyperlink>
          </w:p>
        </w:tc>
        <w:tc>
          <w:tcPr/>
          <w:p>
            <w:pPr>
              <w:jc w:val="left"/>
            </w:pPr>
            <w:r>
              <w:t xml:space="preserve">Design looks professional. Citation metrics are presented at the top the reporting guidance. Information about who developed the guidelines, how they developed it, and why the guidance is credible is still provided, and easily findable from the top of the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Create spaces for authors to discuss reporting guidelines with others</w:t>
            </w:r>
          </w:p>
        </w:tc>
        <w:tc>
          <w:tcPr/>
          <w:p>
            <w:pPr>
              <w:pStyle w:val="Compact"/>
              <w:jc w:val="left"/>
            </w:pPr>
            <w:r>
              <w:t xml:space="preserve">Social comparison, Credible source, Adding objects to the environment</w:t>
            </w:r>
          </w:p>
        </w:tc>
        <w:tc>
          <w:tcPr/>
          <w:p>
            <w:pPr>
              <w:pStyle w:val="Compact"/>
              <w:jc w:val="left"/>
            </w:pPr>
            <w:r>
              <w:t xml:space="preserve">Persuasion</w:t>
            </w:r>
          </w:p>
        </w:tc>
        <w:tc>
          <w:tcPr/>
          <w:p>
            <w:pPr>
              <w:pStyle w:val="Compact"/>
              <w:jc w:val="left"/>
            </w:pPr>
            <w:r>
              <w:t xml:space="preserve">There were no official on- or offline spaces for authors to discuss guidelines.</w:t>
            </w:r>
          </w:p>
        </w:tc>
        <w:tc>
          <w:tcPr/>
          <w:p>
            <w:pPr>
              <w:jc w:val="left"/>
            </w:pPr>
            <w:r>
              <w:t xml:space="preserve">Each reporting item has its own discussion board.</w:t>
            </w:r>
          </w:p>
          <w:p>
            <w:pPr>
              <w:jc w:val="left"/>
            </w:pPr>
            <w:r>
              <w:t xml:space="preserve">Example: See</w:t>
            </w:r>
            <w:r>
              <w:t xml:space="preserve"> </w:t>
            </w:r>
            <w:hyperlink w:anchor="fig-discussion">
              <w:r>
                <w:rPr>
                  <w:rStyle w:val="Hyperlink"/>
                </w:rPr>
                <w:t xml:space="preserve">Figure 12</w:t>
              </w:r>
            </w:hyperlink>
          </w:p>
        </w:tc>
      </w:tr>
      <w:tr>
        <w:tc>
          <w:tcPr/>
          <w:p>
            <w:pPr>
              <w:pStyle w:val="Compact"/>
              <w:jc w:val="left"/>
            </w:pPr>
            <w:r>
              <w:t xml:space="preserve">Use language and design to communicate personal benefits; confidence and simplicity</w:t>
            </w:r>
          </w:p>
        </w:tc>
        <w:tc>
          <w:tcPr/>
          <w:p>
            <w:pPr>
              <w:pStyle w:val="Compact"/>
              <w:jc w:val="left"/>
            </w:pPr>
            <w:r>
              <w:t xml:space="preserve">Framing/reframing</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r>
      <w:tr>
        <w:tc>
          <w:tcPr/>
          <w:p>
            <w:pPr>
              <w:jc w:val="left"/>
            </w:pPr>
            <w:r>
              <w:rPr>
                <w:bCs/>
                <w:b/>
              </w:rPr>
              <w:t xml:space="preserve">Targeted barrier: Researchers may not care about the benefits of using a reporting guideline</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Include testimonials from research users who benefit from complete reporting</w:t>
            </w:r>
          </w:p>
        </w:tc>
        <w:tc>
          <w:tcPr/>
          <w:p>
            <w:pPr>
              <w:pStyle w:val="Compact"/>
              <w:jc w:val="left"/>
            </w:pPr>
            <w:r>
              <w:t xml:space="preserve">Salience of consequence</w:t>
            </w:r>
          </w:p>
        </w:tc>
        <w:tc>
          <w:tcPr/>
          <w:p>
            <w:pPr>
              <w:pStyle w:val="Compact"/>
              <w:jc w:val="left"/>
            </w:pPr>
            <w:r>
              <w:t xml:space="preserve">Persuasion</w:t>
            </w:r>
          </w:p>
        </w:tc>
        <w:tc>
          <w:tcPr/>
          <w:p>
            <w:pPr>
              <w:pStyle w:val="Compact"/>
              <w:jc w:val="left"/>
            </w:pPr>
            <w:r>
              <w:t xml:space="preserve">Testimonials not included in reporting guidelines.</w:t>
            </w:r>
          </w:p>
        </w:tc>
        <w:tc>
          <w:tcPr/>
          <w:p>
            <w:pPr>
              <w:jc w:val="left"/>
            </w:pPr>
            <w:r>
              <w:t xml:space="preserve">SRQR includes dummy testimonials and quotes from research users</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r>
      <w:tr>
        <w:tc>
          <w:tcPr/>
          <w:p>
            <w:pPr>
              <w:pStyle w:val="Compact"/>
              <w:jc w:val="left"/>
            </w:pPr>
            <w:r>
              <w:t xml:space="preserve">Define key terms</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Use consistent terms</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Guidelines may use different terms to refer to the same thing (or the converse - use the same term to refer to different things). A single guideline may do this too.</w:t>
            </w:r>
          </w:p>
        </w:tc>
        <w:tc>
          <w:tcPr/>
          <w:p>
            <w:pPr>
              <w:pStyle w:val="Compact"/>
              <w:jc w:val="left"/>
            </w:pPr>
            <w:r>
              <w:t xml:space="preserve">SRQR uses consistent terms across items.</w:t>
            </w:r>
          </w:p>
        </w:tc>
      </w:tr>
      <w:tr>
        <w:tc>
          <w:tcPr/>
          <w:p>
            <w:pPr>
              <w:pStyle w:val="Compact"/>
              <w:jc w:val="left"/>
            </w:pPr>
            <w:r>
              <w:t xml:space="preserve">Provide translations</w:t>
            </w:r>
          </w:p>
        </w:tc>
        <w:tc>
          <w:tcPr/>
          <w:p>
            <w:pPr>
              <w:pStyle w:val="Compact"/>
              <w:jc w:val="left"/>
            </w:pPr>
            <w:r>
              <w:t xml:space="preserve">See above</w:t>
            </w:r>
          </w:p>
        </w:tc>
        <w:tc>
          <w:tcPr/>
          <w:p>
            <w:pPr>
              <w:pStyle w:val="Compact"/>
              <w:jc w:val="left"/>
            </w:pPr>
            <w:r>
              <w:t xml:space="preserve">None</w:t>
            </w:r>
          </w:p>
        </w:tc>
        <w:tc>
          <w:tcPr/>
          <w:p>
            <w:pPr>
              <w:pStyle w:val="Compact"/>
              <w:jc w:val="left"/>
            </w:pPr>
            <w:r>
              <w:t xml:space="preserve">See above</w:t>
            </w: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pPr>
            <w:r>
              <w:t xml:space="preserve">Information about social and environmental consequences</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Information added when necessary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Explain importance of complete reporting to the scientific community</w:t>
            </w:r>
          </w:p>
        </w:tc>
        <w:tc>
          <w:tcPr/>
          <w:p>
            <w:pPr>
              <w:pStyle w:val="Compact"/>
              <w:jc w:val="left"/>
            </w:pPr>
            <w:r>
              <w:t xml:space="preserve">Information about social and environmental consequences</w:t>
            </w:r>
          </w:p>
        </w:tc>
        <w:tc>
          <w:tcPr/>
          <w:p>
            <w:pPr>
              <w:pStyle w:val="Compact"/>
              <w:jc w:val="left"/>
            </w:pPr>
            <w:r>
              <w:t xml:space="preserve">Education</w:t>
            </w:r>
          </w:p>
        </w:tc>
        <w:tc>
          <w:tcPr/>
          <w:p>
            <w:pPr>
              <w:pStyle w:val="Compact"/>
              <w:jc w:val="left"/>
            </w:pPr>
            <w:r>
              <w:t xml:space="preserve">EQUATOR and most reporting guidelines do this already</w:t>
            </w:r>
          </w:p>
        </w:tc>
        <w:tc>
          <w:tcPr/>
          <w:p>
            <w:pPr>
              <w:pStyle w:val="Compact"/>
              <w:jc w:val="left"/>
            </w:pPr>
            <w:r>
              <w:t xml:space="preserve">Continue to do this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 publications (or elaboration articles)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Writing instructions are often mixed in with other explanation and context.</w:t>
            </w:r>
          </w:p>
          <w:p>
            <w:pPr>
              <w:jc w:val="left"/>
            </w:pPr>
            <w:r>
              <w:t xml:space="preserve">Example: See</w:t>
            </w:r>
            <w:r>
              <w:t xml:space="preserve"> </w:t>
            </w:r>
            <w:hyperlink w:anchor="fig-item-b4">
              <w:r>
                <w:rPr>
                  <w:rStyle w:val="Hyperlink"/>
                </w:rPr>
                <w:t xml:space="preserve">Figure 6</w:t>
              </w:r>
            </w:hyperlink>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For each item, provide examples of reporting in different contexts</w:t>
            </w:r>
          </w:p>
        </w:tc>
        <w:tc>
          <w:tcPr/>
          <w:p>
            <w:pPr>
              <w:pStyle w:val="Compact"/>
              <w:jc w:val="left"/>
            </w:pPr>
            <w:r>
              <w:t xml:space="preserve">Demonstration of the behavior</w:t>
            </w:r>
          </w:p>
        </w:tc>
        <w:tc>
          <w:tcPr/>
          <w:p>
            <w:pPr>
              <w:pStyle w:val="Compact"/>
              <w:jc w:val="left"/>
            </w:pPr>
            <w:r>
              <w:t xml:space="preserve">Modelling</w:t>
            </w:r>
          </w:p>
        </w:tc>
        <w:tc>
          <w:tcPr/>
          <w:p>
            <w:pPr>
              <w:jc w:val="left"/>
            </w:pPr>
            <w:r>
              <w:t xml:space="preserve">Not all reporting guidelines provide examples. Examples may not cover different contexts.</w:t>
            </w:r>
          </w:p>
          <w:p>
            <w:pPr>
              <w:jc w:val="left"/>
            </w:pPr>
            <w:r>
              <w:t xml:space="preserve">Example: See @ fig-item-b4</w:t>
            </w:r>
          </w:p>
        </w:tc>
        <w:tc>
          <w:tcPr/>
          <w:p>
            <w:pPr>
              <w:jc w:val="left"/>
            </w:pPr>
            <w:r>
              <w:t xml:space="preserve">SRQR already had some examples. No more examples added</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r>
      <w:tr>
        <w:tc>
          <w:tcPr/>
          <w:p>
            <w:pPr>
              <w:pStyle w:val="Compact"/>
              <w:jc w:val="left"/>
            </w:pPr>
            <w:r>
              <w:t xml:space="preserve">Structure guidance to make it quicker to digest (see above)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Figure 6</w:t>
              </w:r>
            </w:hyperlink>
          </w:p>
        </w:tc>
        <w:tc>
          <w:tcPr/>
          <w:p>
            <w:pPr>
              <w:jc w:val="left"/>
            </w:pPr>
            <w:r>
              <w:t xml:space="preserve">Items have consistent structure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Tell authors how long the guidance will take to read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Tell authors how long guidance will take to apply*</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r>
      <w:tr>
        <w:tc>
          <w:tcPr/>
          <w:p>
            <w:pPr>
              <w:jc w:val="left"/>
            </w:pPr>
            <w:r>
              <w:rPr>
                <w:bCs/>
                <w:b/>
              </w:rPr>
              <w:t xml:space="preserve">Targeted barrier: Researchers may not know when reporting guidelines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Tell authors when to use reporting guidelines, or that reporting guidelines are best used as early as possible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encounter reporting guidelines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Cs/>
                <w:i/>
              </w:rPr>
              <w:t xml:space="preserve">Search Engine Optimization</w:t>
            </w:r>
            <w:r>
              <w:t xml:space="preserve"> </w:t>
            </w:r>
            <w:r>
              <w:t xml:space="preserve">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Create prompts / communication campaigns to target authors early in their research*</w:t>
            </w:r>
          </w:p>
        </w:tc>
        <w:tc>
          <w:tcPr/>
          <w:p>
            <w:pPr>
              <w:pStyle w:val="Compact"/>
              <w:jc w:val="left"/>
            </w:pPr>
            <w:r>
              <w:t xml:space="preserve">Prompts/cues</w:t>
            </w:r>
          </w:p>
        </w:tc>
        <w:tc>
          <w:tcPr/>
          <w:p>
            <w:pPr>
              <w:pStyle w:val="Compact"/>
              <w:jc w:val="left"/>
            </w:pPr>
            <w:r>
              <w:t xml:space="preserve">Enablement</w:t>
            </w:r>
          </w:p>
        </w:tc>
        <w:tc>
          <w:tcPr/>
          <w:p>
            <w:pPr>
              <w:pStyle w:val="Compact"/>
              <w:jc w:val="left"/>
            </w:pPr>
            <w:r>
              <w:t xml:space="preserve">EQUATOR had no way to do this</w:t>
            </w:r>
          </w:p>
        </w:tc>
        <w:tc>
          <w:tcPr/>
          <w:p>
            <w:pPr>
              <w:pStyle w:val="Compact"/>
              <w:jc w:val="left"/>
            </w:pPr>
            <w:r>
              <w:t xml:space="preserve">No changes made</w:t>
            </w:r>
          </w:p>
        </w:tc>
      </w:tr>
      <w:tr>
        <w:tc>
          <w:tcPr/>
          <w:p>
            <w:pPr>
              <w:pStyle w:val="Compact"/>
              <w:jc w:val="left"/>
            </w:pPr>
            <w:r>
              <w:t xml:space="preserve">Create tools to be used for early writing tasks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Most reporting guidelines come with a checklist but none come with a template, or tools/guidance specific to protocols or funding applications.</w:t>
            </w:r>
          </w:p>
        </w:tc>
        <w:tc>
          <w:tcPr/>
          <w:p>
            <w:pPr>
              <w:pStyle w:val="Compact"/>
              <w:jc w:val="left"/>
            </w:pPr>
            <w:r>
              <w:t xml:space="preserve">No changes made</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instruction as to how and where information can be reported without breaching word count limits or making articles bloated.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reporting guidelines include this information</w:t>
            </w:r>
          </w:p>
        </w:tc>
        <w:tc>
          <w:tcPr/>
          <w:p>
            <w:pPr>
              <w:jc w:val="left"/>
            </w:pPr>
            <w:r>
              <w:t xml:space="preserve">Added instruction at top of reporting guideline and in some items where most useful</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examples of concise reporting*</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guidance for planning research, or for writing protocols/funding applications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to-do lists in the order research is conducted, to help authors collect information they will need to report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templates for drafting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tools to facilitate checklist completion*</w:t>
            </w:r>
          </w:p>
        </w:tc>
        <w:tc>
          <w:tcPr/>
          <w:p>
            <w:pPr>
              <w:pStyle w:val="Compact"/>
              <w:jc w:val="left"/>
            </w:pPr>
            <w:r>
              <w:t xml:space="preserve">Adding objects to the environment</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r>
      <w:tr>
        <w:tc>
          <w:tcPr/>
          <w:p>
            <w:pPr>
              <w:pStyle w:val="Compact"/>
              <w:jc w:val="left"/>
            </w:pPr>
            <w:r>
              <w:t xml:space="preserve">Create tools to facilitate particular reporting items*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r>
      <w:tr>
        <w:tc>
          <w:tcPr/>
          <w:p>
            <w:pPr>
              <w:pStyle w:val="Compact"/>
              <w:jc w:val="left"/>
            </w:pPr>
            <w:r>
              <w:t xml:space="preserve">Create tools to help collaborators check each other’s work*</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r>
      <w:tr>
        <w:tc>
          <w:tcPr/>
          <w:p>
            <w:pPr>
              <w:pStyle w:val="Compact"/>
              <w:jc w:val="left"/>
            </w:pPr>
            <w:r>
              <w:t xml:space="preserve">Create tools to help peer reviewers check reporting and request missing information*</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are reporting guidelines are not specifically aimed at peer reviewers</w:t>
            </w:r>
          </w:p>
        </w:tc>
        <w:tc>
          <w:tcPr/>
          <w:p>
            <w:pPr>
              <w:pStyle w:val="Compact"/>
              <w:jc w:val="left"/>
            </w:pPr>
            <w:r>
              <w:t xml:space="preserve">No changes made</w:t>
            </w:r>
          </w:p>
        </w:tc>
      </w:tr>
      <w:tr>
        <w:tc>
          <w:tcPr/>
          <w:p>
            <w:pPr>
              <w:jc w:val="left"/>
            </w:pPr>
            <w:r>
              <w:rPr>
                <w:bCs/>
                <w:b/>
              </w:rPr>
              <w:t xml:space="preserve">Targeted barrier: reporting guidelines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Make it possible for guideline developers to make small edits without having to publish new articles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Explain when reporting guidelines do not intended to prescribe structure</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instruction as to how and where information can be reported without breaching word count limits or making articles bloated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be asked to remove reporting guideline content</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Problem solving</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reporting guideline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Restructuring the physical environment</w:t>
            </w:r>
          </w:p>
        </w:tc>
        <w:tc>
          <w:tcPr/>
          <w:p>
            <w:pPr>
              <w:pStyle w:val="Compact"/>
              <w:jc w:val="left"/>
            </w:pPr>
            <w:r>
              <w:t xml:space="preserve">Coercion (removal of)</w:t>
            </w:r>
          </w:p>
        </w:tc>
        <w:tc>
          <w:tcPr/>
          <w:p>
            <w:pPr>
              <w:pStyle w:val="Compact"/>
              <w:jc w:val="left"/>
            </w:pPr>
            <w:r>
              <w:t xml:space="preserve">Some reporting guideline E&amp;Es include design advice</w:t>
            </w:r>
          </w:p>
        </w:tc>
        <w:tc>
          <w:tcPr/>
          <w:p>
            <w:pPr>
              <w:pStyle w:val="Compact"/>
              <w:jc w:val="left"/>
            </w:pPr>
            <w:r>
              <w:t xml:space="preserve">No changes made</w:t>
            </w:r>
          </w:p>
        </w:tc>
      </w:tr>
      <w:tr>
        <w:tc>
          <w:tcPr/>
          <w:p>
            <w:pPr>
              <w:pStyle w:val="Compact"/>
              <w:jc w:val="left"/>
            </w:pPr>
            <w:r>
              <w:t xml:space="preserve">Make reporting guidelines agnostic to design choices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Encourage explanation even when choices are unusual or not optimal</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Reassure authors that all research has limitations (see</w:t>
            </w:r>
            <w:r>
              <w:t xml:space="preserve"> </w:t>
            </w:r>
            <w:r>
              <w:rPr>
                <w:iCs/>
                <w:i/>
              </w:rPr>
              <w:t xml:space="preserve">Reassure that all research has limitations to encourage explanation over perfect design</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Include testimonials from researchers who were nervous about being punished for reporting transparently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restricted if reporting guidelines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w:t>
            </w:r>
            <w:r>
              <w:t xml:space="preserve"> </w:t>
            </w:r>
            <w:r>
              <w:rPr>
                <w:iCs/>
                <w:i/>
              </w:rPr>
              <w:t xml:space="preserve">Present design advice separately to reporting advice</w:t>
            </w:r>
            <w:r>
              <w:t xml:space="preserve"> </w:t>
            </w:r>
            <w:r>
              <w:t xml:space="preserve">and</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Social support</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reporting guideline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Persuasion</w:t>
            </w:r>
          </w:p>
        </w:tc>
        <w:tc>
          <w:tcPr/>
          <w:p>
            <w:pPr>
              <w:pStyle w:val="Compact"/>
            </w:pPr>
          </w:p>
        </w:tc>
        <w:tc>
          <w:tcPr/>
          <w:p>
            <w:pPr>
              <w:pStyle w:val="Compact"/>
            </w:pPr>
          </w:p>
        </w:tc>
      </w:tr>
      <w:tr>
        <w:tc>
          <w:tcPr/>
          <w:p>
            <w:pPr>
              <w:pStyle w:val="Compact"/>
              <w:jc w:val="left"/>
            </w:pPr>
            <w:r>
              <w:t xml:space="preserve">Avoid patronizing language</w:t>
            </w:r>
          </w:p>
        </w:tc>
        <w:tc>
          <w:tcPr/>
          <w:p>
            <w:pPr>
              <w:pStyle w:val="Compact"/>
              <w:jc w:val="left"/>
            </w:pPr>
            <w:r>
              <w:t xml:space="preserve">Remove aversive stimulus</w:t>
            </w:r>
          </w:p>
        </w:tc>
        <w:tc>
          <w:tcPr/>
          <w:p>
            <w:pPr>
              <w:pStyle w:val="Compact"/>
              <w:jc w:val="left"/>
            </w:pPr>
            <w:r>
              <w:t xml:space="preserve">Persuasion</w:t>
            </w:r>
          </w:p>
        </w:tc>
        <w:tc>
          <w:tcPr/>
          <w:p>
            <w:pPr>
              <w:pStyle w:val="Compact"/>
              <w:jc w:val="left"/>
            </w:pPr>
            <w:r>
              <w:t xml:space="preserve">Although authors may feel patronized when asked to adhere to a reporting guideline, reporting guidelines themselves rarely use patronizing language</w:t>
            </w:r>
          </w:p>
        </w:tc>
        <w:tc>
          <w:tcPr/>
          <w:p>
            <w:pPr>
              <w:pStyle w:val="Compact"/>
              <w:jc w:val="left"/>
            </w:pPr>
            <w:r>
              <w:t xml:space="preserve">Continue to avoid using patronizing language</w:t>
            </w:r>
          </w:p>
        </w:tc>
      </w:tr>
      <w:tr>
        <w:tc>
          <w:tcPr/>
          <w:p>
            <w:pPr>
              <w:pStyle w:val="Compact"/>
              <w:jc w:val="left"/>
            </w:pPr>
            <w:r>
              <w:t xml:space="preserve">Explain how the guidance was developed and why it can be trusted</w:t>
            </w:r>
          </w:p>
        </w:tc>
        <w:tc>
          <w:tcPr/>
          <w:p>
            <w:pPr>
              <w:pStyle w:val="Compact"/>
              <w:jc w:val="left"/>
            </w:pPr>
            <w:r>
              <w:t xml:space="preserve">Credible source</w:t>
            </w:r>
          </w:p>
        </w:tc>
        <w:tc>
          <w:tcPr/>
          <w:p>
            <w:pPr>
              <w:pStyle w:val="Compact"/>
              <w:jc w:val="left"/>
            </w:pPr>
            <w:r>
              <w:t xml:space="preserve">Education</w:t>
            </w:r>
          </w:p>
        </w:tc>
        <w:tc>
          <w:tcPr/>
          <w:p>
            <w:pPr>
              <w:jc w:val="left"/>
            </w:pPr>
            <w:r>
              <w:t xml:space="preserve">Most reporting guidelines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reporting guideline, links to full to development information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reporting guidelines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to target authors early in their research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bl>
    <w:bookmarkEnd w:id="25"/>
    <w:p>
      <w:pPr>
        <w:sectPr>
          <w:pgSz w:h="11906" w:w="16838" w:orient="landscape"/>
        </w:sectPr>
      </w:pPr>
    </w:p>
    <w:p>
      <w:r>
        <w:br w:type="page"/>
      </w:r>
    </w:p>
    <w:bookmarkEnd w:id="26"/>
    <w:bookmarkStart w:id="79" w:name="figures"/>
    <w:p>
      <w:pPr>
        <w:pStyle w:val="Heading2"/>
      </w:pPr>
      <w:r>
        <w:t xml:space="preserve">Figures</w:t>
      </w:r>
    </w:p>
    <w:p>
      <w:pPr>
        <w:pStyle w:val="FirstParagraph"/>
      </w:pPr>
      <w:r>
        <w:t xml:space="preserve">I explain how I created these figures in chapter 10. I have included them in this chapter to give context to the components in the table above.</w:t>
      </w:r>
    </w:p>
    <w:tbl>
      <w:tblPr>
        <w:tblStyle w:val="Table"/>
        <w:tblW w:type="pct" w:w="5000"/>
        <w:tblLook w:firstRow="0" w:lastRow="0" w:firstColumn="0" w:lastColumn="0" w:noHBand="0" w:noVBand="0" w:val="0000"/>
        <w:jc w:val="start"/>
      </w:tblPr>
      <w:tblGrid>
        <w:gridCol w:w="7920"/>
      </w:tblGrid>
      <w:tr>
        <w:tc>
          <w:tcPr/>
          <w:bookmarkStart w:id="30" w:name="fig-sankey-b4"/>
          <w:p>
            <w:pPr>
              <w:jc w:val="center"/>
            </w:pPr>
            <w:r>
              <w:drawing>
                <wp:inline>
                  <wp:extent cx="5727700" cy="2334627"/>
                  <wp:effectExtent b="0" l="0" r="0" t="0"/>
                  <wp:docPr descr="" title="" id="28" name="Picture"/>
                  <a:graphic>
                    <a:graphicData uri="http://schemas.openxmlformats.org/drawingml/2006/picture">
                      <pic:pic>
                        <pic:nvPicPr>
                          <pic:cNvPr descr="figures/sankey-before.png" id="29" name="Picture"/>
                          <pic:cNvPicPr>
                            <a:picLocks noChangeArrowheads="1" noChangeAspect="1"/>
                          </pic:cNvPicPr>
                        </pic:nvPicPr>
                        <pic:blipFill>
                          <a:blip r:embed="rId27"/>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30"/>
        </w:tc>
      </w:tr>
    </w:tbl>
    <w:p/>
    <w:tbl>
      <w:tblPr>
        <w:tblStyle w:val="Table"/>
        <w:tblW w:type="pct" w:w="5000"/>
        <w:tblLook w:firstRow="0" w:lastRow="0" w:firstColumn="0" w:lastColumn="0" w:noHBand="0" w:noVBand="0" w:val="0000"/>
        <w:jc w:val="start"/>
      </w:tblPr>
      <w:tblGrid>
        <w:gridCol w:w="7920"/>
      </w:tblGrid>
      <w:tr>
        <w:tc>
          <w:tcPr/>
          <w:bookmarkStart w:id="34" w:name="fig-sankey-after"/>
          <w:p>
            <w:pPr>
              <w:jc w:val="center"/>
            </w:pPr>
            <w:r>
              <w:drawing>
                <wp:inline>
                  <wp:extent cx="5727700" cy="2414425"/>
                  <wp:effectExtent b="0" l="0" r="0" t="0"/>
                  <wp:docPr descr="" title="" id="32" name="Picture"/>
                  <a:graphic>
                    <a:graphicData uri="http://schemas.openxmlformats.org/drawingml/2006/picture">
                      <pic:pic>
                        <pic:nvPicPr>
                          <pic:cNvPr descr="figures/sankey-after.png" id="33" name="Picture"/>
                          <pic:cNvPicPr>
                            <a:picLocks noChangeArrowheads="1" noChangeAspect="1"/>
                          </pic:cNvPicPr>
                        </pic:nvPicPr>
                        <pic:blipFill>
                          <a:blip r:embed="rId31"/>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4"/>
        </w:tc>
      </w:tr>
    </w:tbl>
    <w:p/>
    <w:tbl>
      <w:tblPr>
        <w:tblStyle w:val="Table"/>
        <w:tblW w:type="pct" w:w="5000"/>
        <w:tblLook w:firstRow="0" w:lastRow="0" w:firstColumn="0" w:lastColumn="0" w:noHBand="0" w:noVBand="0" w:val="0000"/>
        <w:jc w:val="start"/>
      </w:tblPr>
      <w:tblGrid>
        <w:gridCol w:w="7920"/>
      </w:tblGrid>
      <w:tr>
        <w:tc>
          <w:tcPr/>
          <w:bookmarkStart w:id="38" w:name="fig-home-b4"/>
          <w:p>
            <w:pPr>
              <w:jc w:val="center"/>
            </w:pPr>
            <w:r>
              <w:drawing>
                <wp:inline>
                  <wp:extent cx="4630455" cy="7199999"/>
                  <wp:effectExtent b="0" l="0" r="0" t="0"/>
                  <wp:docPr descr="" title="" id="36" name="Picture"/>
                  <a:graphic>
                    <a:graphicData uri="http://schemas.openxmlformats.org/drawingml/2006/picture">
                      <pic:pic>
                        <pic:nvPicPr>
                          <pic:cNvPr descr="figures/www.equator-network.org_.png" id="37" name="Picture"/>
                          <pic:cNvPicPr>
                            <a:picLocks noChangeArrowheads="1" noChangeAspect="1"/>
                          </pic:cNvPicPr>
                        </pic:nvPicPr>
                        <pic:blipFill>
                          <a:blip r:embed="rId35"/>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38"/>
        </w:tc>
      </w:tr>
    </w:tbl>
    <w:p/>
    <w:tbl>
      <w:tblPr>
        <w:tblStyle w:val="Table"/>
        <w:tblW w:type="pct" w:w="5000"/>
        <w:tblLook w:firstRow="0" w:lastRow="0" w:firstColumn="0" w:lastColumn="0" w:noHBand="0" w:noVBand="0" w:val="0000"/>
        <w:jc w:val="start"/>
      </w:tblPr>
      <w:tblGrid>
        <w:gridCol w:w="7920"/>
      </w:tblGrid>
      <w:tr>
        <w:tc>
          <w:tcPr/>
          <w:bookmarkStart w:id="42" w:name="fig-db-b4"/>
          <w:p>
            <w:pPr>
              <w:jc w:val="center"/>
            </w:pPr>
            <w:r>
              <w:drawing>
                <wp:inline>
                  <wp:extent cx="4510091" cy="7199999"/>
                  <wp:effectExtent b="0" l="0" r="0" t="0"/>
                  <wp:docPr descr="" title="" id="40" name="Picture"/>
                  <a:graphic>
                    <a:graphicData uri="http://schemas.openxmlformats.org/drawingml/2006/picture">
                      <pic:pic>
                        <pic:nvPicPr>
                          <pic:cNvPr descr="figures/db_page_b4.png" id="41" name="Picture"/>
                          <pic:cNvPicPr>
                            <a:picLocks noChangeArrowheads="1" noChangeAspect="1"/>
                          </pic:cNvPicPr>
                        </pic:nvPicPr>
                        <pic:blipFill>
                          <a:blip r:embed="rId39"/>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2"/>
        </w:tc>
      </w:tr>
    </w:tbl>
    <w:p/>
    <w:tbl>
      <w:tblPr>
        <w:tblStyle w:val="Table"/>
        <w:tblW w:type="pct" w:w="5000"/>
        <w:tblLook w:firstRow="0" w:lastRow="0" w:firstColumn="0" w:lastColumn="0" w:noHBand="0" w:noVBand="0" w:val="0000"/>
        <w:jc w:val="start"/>
      </w:tblPr>
      <w:tblGrid>
        <w:gridCol w:w="7920"/>
      </w:tblGrid>
      <w:tr>
        <w:tc>
          <w:tcPr/>
          <w:bookmarkStart w:id="46" w:name="fig-rg-intro-b4"/>
          <w:p>
            <w:pPr>
              <w:jc w:val="center"/>
            </w:pPr>
            <w:r>
              <w:drawing>
                <wp:inline>
                  <wp:extent cx="834398" cy="7199999"/>
                  <wp:effectExtent b="0" l="0" r="0" t="0"/>
                  <wp:docPr descr="" title="" id="44" name="Picture"/>
                  <a:graphic>
                    <a:graphicData uri="http://schemas.openxmlformats.org/drawingml/2006/picture">
                      <pic:pic>
                        <pic:nvPicPr>
                          <pic:cNvPr descr="figures/rg-intro-b4.png" id="45" name="Picture"/>
                          <pic:cNvPicPr>
                            <a:picLocks noChangeArrowheads="1" noChangeAspect="1"/>
                          </pic:cNvPicPr>
                        </pic:nvPicPr>
                        <pic:blipFill>
                          <a:blip r:embed="rId43"/>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6"/>
        </w:tc>
      </w:tr>
    </w:tbl>
    <w:p/>
    <w:tbl>
      <w:tblPr>
        <w:tblStyle w:val="Table"/>
        <w:tblW w:type="pct" w:w="5000"/>
        <w:tblLook w:firstRow="0" w:lastRow="0" w:firstColumn="0" w:lastColumn="0" w:noHBand="0" w:noVBand="0" w:val="0000"/>
        <w:jc w:val="start"/>
      </w:tblPr>
      <w:tblGrid>
        <w:gridCol w:w="7920"/>
      </w:tblGrid>
      <w:tr>
        <w:tc>
          <w:tcPr/>
          <w:bookmarkStart w:id="50" w:name="fig-item-b4"/>
          <w:p>
            <w:pPr>
              <w:jc w:val="center"/>
            </w:pPr>
            <w:r>
              <w:drawing>
                <wp:inline>
                  <wp:extent cx="2051851" cy="5399999"/>
                  <wp:effectExtent b="0" l="0" r="0" t="0"/>
                  <wp:docPr descr="" title="" id="48" name="Picture"/>
                  <a:graphic>
                    <a:graphicData uri="http://schemas.openxmlformats.org/drawingml/2006/picture">
                      <pic:pic>
                        <pic:nvPicPr>
                          <pic:cNvPr descr="figures/item-b4.png" id="49" name="Picture"/>
                          <pic:cNvPicPr>
                            <a:picLocks noChangeArrowheads="1" noChangeAspect="1"/>
                          </pic:cNvPicPr>
                        </pic:nvPicPr>
                        <pic:blipFill>
                          <a:blip r:embed="rId47"/>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br/>
            </w:r>
            <w:r>
              <w:t xml:space="preserve">2) Text uses verbose, passive language</w:t>
            </w:r>
            <w:r>
              <w:br/>
            </w:r>
            <w:r>
              <w:t xml:space="preserve">3) The text appears long and difficult to digest</w:t>
            </w:r>
            <w:r>
              <w:br/>
            </w:r>
            <w:r>
              <w:t xml:space="preserve">4) Terms aren’t always defined</w:t>
            </w:r>
            <w:r>
              <w:br/>
            </w:r>
            <w:r>
              <w:t xml:space="preserve">5) Not all reporting items are justified</w:t>
            </w:r>
            <w:r>
              <w:br/>
            </w:r>
            <w:r>
              <w:t xml:space="preserve">6) Not all items include instruction of what to write if the item could not/was not done.</w:t>
            </w:r>
            <w:r>
              <w:br/>
            </w:r>
          </w:p>
          <w:bookmarkEnd w:id="50"/>
        </w:tc>
      </w:tr>
    </w:tbl>
    <w:p/>
    <w:tbl>
      <w:tblPr>
        <w:tblStyle w:val="Table"/>
        <w:tblW w:type="pct" w:w="5000"/>
        <w:tblLook w:firstRow="0" w:lastRow="0" w:firstColumn="0" w:lastColumn="0" w:noHBand="0" w:noVBand="0" w:val="0000"/>
        <w:jc w:val="start"/>
      </w:tblPr>
      <w:tblGrid>
        <w:gridCol w:w="7920"/>
      </w:tblGrid>
      <w:tr>
        <w:tc>
          <w:tcPr/>
          <w:bookmarkStart w:id="54" w:name="fig-checklist-b4"/>
          <w:p>
            <w:pPr>
              <w:jc w:val="center"/>
            </w:pPr>
            <w:r>
              <w:drawing>
                <wp:inline>
                  <wp:extent cx="4886877" cy="7199999"/>
                  <wp:effectExtent b="0" l="0" r="0" t="0"/>
                  <wp:docPr descr="" title="" id="52" name="Picture"/>
                  <a:graphic>
                    <a:graphicData uri="http://schemas.openxmlformats.org/drawingml/2006/picture">
                      <pic:pic>
                        <pic:nvPicPr>
                          <pic:cNvPr descr="figures/checklist-b4.jpeg" id="53" name="Picture"/>
                          <pic:cNvPicPr>
                            <a:picLocks noChangeArrowheads="1" noChangeAspect="1"/>
                          </pic:cNvPicPr>
                        </pic:nvPicPr>
                        <pic:blipFill>
                          <a:blip r:embed="rId51"/>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4"/>
        </w:tc>
      </w:tr>
    </w:tbl>
    <w:p/>
    <w:tbl>
      <w:tblPr>
        <w:tblStyle w:val="Table"/>
        <w:tblW w:type="pct" w:w="5000"/>
        <w:tblLook w:firstRow="0" w:lastRow="0" w:firstColumn="0" w:lastColumn="0" w:noHBand="0" w:noVBand="0" w:val="0000"/>
        <w:jc w:val="start"/>
      </w:tblPr>
      <w:tblGrid>
        <w:gridCol w:w="7920"/>
      </w:tblGrid>
      <w:tr>
        <w:tc>
          <w:tcPr/>
          <w:bookmarkStart w:id="58" w:name="fig-journal-instructions"/>
          <w:p>
            <w:pPr>
              <w:jc w:val="center"/>
            </w:pPr>
            <w:r>
              <w:drawing>
                <wp:inline>
                  <wp:extent cx="646369" cy="7199999"/>
                  <wp:effectExtent b="0" l="0" r="0" t="0"/>
                  <wp:docPr descr="" title="" id="56" name="Picture"/>
                  <a:graphic>
                    <a:graphicData uri="http://schemas.openxmlformats.org/drawingml/2006/picture">
                      <pic:pic>
                        <pic:nvPicPr>
                          <pic:cNvPr descr="figures/journal-instructions.png" id="57" name="Picture"/>
                          <pic:cNvPicPr>
                            <a:picLocks noChangeArrowheads="1" noChangeAspect="1"/>
                          </pic:cNvPicPr>
                        </pic:nvPicPr>
                        <pic:blipFill>
                          <a:blip r:embed="rId55"/>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58"/>
        </w:tc>
      </w:tr>
    </w:tbl>
    <w:p/>
    <w:tbl>
      <w:tblPr>
        <w:tblStyle w:val="Table"/>
        <w:tblW w:type="pct" w:w="5000"/>
        <w:tblLook w:firstRow="0" w:lastRow="0" w:firstColumn="0" w:lastColumn="0" w:noHBand="0" w:noVBand="0" w:val="0000"/>
        <w:jc w:val="start"/>
      </w:tblPr>
      <w:tblGrid>
        <w:gridCol w:w="7920"/>
      </w:tblGrid>
      <w:tr>
        <w:tc>
          <w:tcPr/>
          <w:bookmarkStart w:id="62" w:name="fig-home"/>
          <w:p>
            <w:pPr>
              <w:jc w:val="center"/>
            </w:pPr>
            <w:r>
              <w:drawing>
                <wp:inline>
                  <wp:extent cx="2596478" cy="7199999"/>
                  <wp:effectExtent b="0" l="0" r="0" t="0"/>
                  <wp:docPr descr="" title="" id="60" name="Picture"/>
                  <a:graphic>
                    <a:graphicData uri="http://schemas.openxmlformats.org/drawingml/2006/picture">
                      <pic:pic>
                        <pic:nvPicPr>
                          <pic:cNvPr descr="figures/home.png" id="61" name="Picture"/>
                          <pic:cNvPicPr>
                            <a:picLocks noChangeArrowheads="1" noChangeAspect="1"/>
                          </pic:cNvPicPr>
                        </pic:nvPicPr>
                        <pic:blipFill>
                          <a:blip r:embed="rId59"/>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2"/>
        </w:tc>
      </w:tr>
    </w:tbl>
    <w:p/>
    <w:tbl>
      <w:tblPr>
        <w:tblStyle w:val="Table"/>
        <w:tblW w:type="pct" w:w="5000"/>
        <w:tblLook w:firstRow="0" w:lastRow="0" w:firstColumn="0" w:lastColumn="0" w:noHBand="0" w:noVBand="0" w:val="0000"/>
        <w:jc w:val="start"/>
      </w:tblPr>
      <w:tblGrid>
        <w:gridCol w:w="7920"/>
      </w:tblGrid>
      <w:tr>
        <w:tc>
          <w:tcPr/>
          <w:bookmarkStart w:id="66" w:name="fig-rg-intro"/>
          <w:p>
            <w:pPr>
              <w:jc w:val="center"/>
            </w:pPr>
            <w:r>
              <w:drawing>
                <wp:inline>
                  <wp:extent cx="1319419" cy="7199999"/>
                  <wp:effectExtent b="0" l="0" r="0" t="0"/>
                  <wp:docPr descr="" title="" id="64" name="Picture"/>
                  <a:graphic>
                    <a:graphicData uri="http://schemas.openxmlformats.org/drawingml/2006/picture">
                      <pic:pic>
                        <pic:nvPicPr>
                          <pic:cNvPr descr="figures/rg-after.png" id="65" name="Picture"/>
                          <pic:cNvPicPr>
                            <a:picLocks noChangeArrowheads="1" noChangeAspect="1"/>
                          </pic:cNvPicPr>
                        </pic:nvPicPr>
                        <pic:blipFill>
                          <a:blip r:embed="rId63"/>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6"/>
        </w:tc>
      </w:tr>
    </w:tbl>
    <w:p/>
    <w:tbl>
      <w:tblPr>
        <w:tblStyle w:val="Table"/>
        <w:tblW w:type="pct" w:w="5000"/>
        <w:tblLook w:firstRow="0" w:lastRow="0" w:firstColumn="0" w:lastColumn="0" w:noHBand="0" w:noVBand="0" w:val="0000"/>
        <w:jc w:val="start"/>
      </w:tblPr>
      <w:tblGrid>
        <w:gridCol w:w="7920"/>
      </w:tblGrid>
      <w:tr>
        <w:tc>
          <w:tcPr/>
          <w:bookmarkStart w:id="70" w:name="fig-item"/>
          <w:p>
            <w:pPr>
              <w:jc w:val="center"/>
            </w:pPr>
            <w:r>
              <w:drawing>
                <wp:inline>
                  <wp:extent cx="5042801" cy="7199999"/>
                  <wp:effectExtent b="0" l="0" r="0" t="0"/>
                  <wp:docPr descr="" title="" id="68" name="Picture"/>
                  <a:graphic>
                    <a:graphicData uri="http://schemas.openxmlformats.org/drawingml/2006/picture">
                      <pic:pic>
                        <pic:nvPicPr>
                          <pic:cNvPr descr="figures/item-after.png" id="69" name="Picture"/>
                          <pic:cNvPicPr>
                            <a:picLocks noChangeArrowheads="1" noChangeAspect="1"/>
                          </pic:cNvPicPr>
                        </pic:nvPicPr>
                        <pic:blipFill>
                          <a:blip r:embed="rId67"/>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w:t>
            </w:r>
            <w:r>
              <w:t xml:space="preserve"> </w:t>
            </w:r>
            <w:r>
              <w:t xml:space="preserve">4) Quotes provide reassurance and persuasion (area D)</w:t>
            </w:r>
            <w:r>
              <w:t xml:space="preserve"> </w:t>
            </w:r>
            <w:r>
              <w:t xml:space="preserve">5) Language is direct and edited for clarity and brevity</w:t>
            </w:r>
            <w:r>
              <w:t xml:space="preserve"> </w:t>
            </w:r>
            <w:r>
              <w:t xml:space="preserve">6) Each item has its own discussion page (linked to from the top right of area A)</w:t>
            </w:r>
          </w:p>
          <w:bookmarkEnd w:id="70"/>
        </w:tc>
      </w:tr>
    </w:tbl>
    <w:p/>
    <w:tbl>
      <w:tblPr>
        <w:tblStyle w:val="Table"/>
        <w:tblW w:type="pct" w:w="5000"/>
        <w:tblLook w:firstRow="0" w:lastRow="0" w:firstColumn="0" w:lastColumn="0" w:noHBand="0" w:noVBand="0" w:val="0000"/>
        <w:jc w:val="start"/>
      </w:tblPr>
      <w:tblGrid>
        <w:gridCol w:w="7920"/>
      </w:tblGrid>
      <w:tr>
        <w:tc>
          <w:tcPr/>
          <w:bookmarkStart w:id="74" w:name="fig-discussion"/>
          <w:p>
            <w:pPr>
              <w:jc w:val="center"/>
            </w:pPr>
            <w:r>
              <w:drawing>
                <wp:inline>
                  <wp:extent cx="4300418" cy="5399999"/>
                  <wp:effectExtent b="0" l="0" r="0" t="0"/>
                  <wp:docPr descr="" title="" id="72" name="Picture"/>
                  <a:graphic>
                    <a:graphicData uri="http://schemas.openxmlformats.org/drawingml/2006/picture">
                      <pic:pic>
                        <pic:nvPicPr>
                          <pic:cNvPr descr="figures/discussion-page.png" id="73" name="Picture"/>
                          <pic:cNvPicPr>
                            <a:picLocks noChangeArrowheads="1" noChangeAspect="1"/>
                          </pic:cNvPicPr>
                        </pic:nvPicPr>
                        <pic:blipFill>
                          <a:blip r:embed="rId71"/>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4"/>
        </w:tc>
      </w:tr>
    </w:tbl>
    <w:bookmarkStart w:id="78" w:name="refs"/>
    <w:bookmarkStart w:id="75" w:name="ref-michieBehaviourChangeWheel2014"/>
    <w:p>
      <w:pPr>
        <w:pStyle w:val="Bibliography"/>
      </w:pPr>
      <w:r>
        <w:t xml:space="preserve">1.</w:t>
      </w:r>
      <w:r>
        <w:t xml:space="preserve"> </w:t>
      </w:r>
      <w:r>
        <w:t xml:space="preserve">	</w:t>
      </w:r>
      <w:r>
        <w:t xml:space="preserve">Michie S, Atkins L, West R (2014)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w:t>
      </w:r>
      <w:r>
        <w:t xml:space="preserve"> </w:t>
      </w:r>
      <w:r>
        <w:t xml:space="preserve">Silverback Publishing</w:t>
      </w:r>
      <w:r>
        <w:t xml:space="preserve">,</w:t>
      </w:r>
      <w:r>
        <w:t xml:space="preserve"> </w:t>
      </w:r>
      <w:r>
        <w:t xml:space="preserve">London</w:t>
      </w:r>
    </w:p>
    <w:bookmarkEnd w:id="75"/>
    <w:bookmarkStart w:id="77" w:name="ref-michieBehaviorChangeTechnique2013"/>
    <w:p>
      <w:pPr>
        <w:pStyle w:val="Bibliography"/>
      </w:pPr>
      <w:r>
        <w:t xml:space="preserve">2.</w:t>
      </w:r>
      <w:r>
        <w:t xml:space="preserve"> </w:t>
      </w:r>
      <w:r>
        <w:t xml:space="preserve">	</w:t>
      </w:r>
      <w:r>
        <w:t xml:space="preserve">Michie S, Richardson M, Johnston M, Abraham C, Francis J, Hardeman W, Eccles MP, Cane J, Wood CE (2013)</w:t>
      </w:r>
      <w:r>
        <w:t xml:space="preserve"> </w:t>
      </w:r>
      <w:hyperlink r:id="rId76">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46:81–95</w:t>
      </w:r>
    </w:p>
    <w:bookmarkEnd w:id="77"/>
    <w:bookmarkEnd w:id="78"/>
    <w:bookmarkEnd w:id="79"/>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41"/>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481C80"/>
    <w:pPr>
      <w:keepNext/>
      <w:keepLines/>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481C8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jp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hyperlink" Id="rId76" Target="https://doi.org/10.1007/s12160-013-9486-6"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007/s12160-013-948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Pages>
  <Words>321</Words>
  <Characters>1218</Characters>
  <Application>Microsoft Office Word</Application>
  <DocSecurity>0</DocSecurity>
  <Lines>46</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Defining Intervention Content</dc:title>
  <dc:creator>Commit ID: c24e56f</dc:creator>
  <cp:keywords/>
  <dcterms:created xsi:type="dcterms:W3CDTF">2023-10-11T11:58:26Z</dcterms:created>
  <dcterms:modified xsi:type="dcterms:W3CDTF">2023-10-11T11:58:26Z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ommitID">
    <vt:lpwstr>COMMITID</vt:lpwstr>
  </property>
  <property fmtid="{D5CDD505-2E9C-101B-9397-08002B2CF9AE}" pid="9" name="crossref">
    <vt:lpwstr/>
  </property>
  <property fmtid="{D5CDD505-2E9C-101B-9397-08002B2CF9AE}" pid="10" name="csl">
    <vt:lpwstr>../../springer-vancouver.csl</vt:lpwstr>
  </property>
  <property fmtid="{D5CDD505-2E9C-101B-9397-08002B2CF9AE}" pid="11" name="date">
    <vt:lpwstr>2023-10-11</vt:lpwstr>
  </property>
  <property fmtid="{D5CDD505-2E9C-101B-9397-08002B2CF9AE}" pid="12" name="format">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number-depth">
    <vt:lpwstr>2</vt:lpwstr>
  </property>
  <property fmtid="{D5CDD505-2E9C-101B-9397-08002B2CF9AE}" pid="18" name="toc-title">
    <vt:lpwstr>Table of contents</vt:lpwstr>
  </property>
</Properties>
</file>